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85F" w:rsidRPr="00372FA9" w:rsidRDefault="00DB2510" w:rsidP="00DB2510">
      <w:pPr>
        <w:tabs>
          <w:tab w:val="right" w:pos="9360"/>
        </w:tabs>
        <w:jc w:val="right"/>
        <w:rPr>
          <w:rFonts w:asciiTheme="majorBidi" w:hAnsiTheme="majorBidi" w:cstheme="majorBidi"/>
          <w:b/>
          <w:bCs/>
          <w:i/>
          <w:iCs/>
          <w:sz w:val="24"/>
          <w:szCs w:val="24"/>
        </w:rPr>
      </w:pPr>
      <w:r w:rsidRPr="00372FA9">
        <w:rPr>
          <w:rFonts w:asciiTheme="majorBidi" w:hAnsiTheme="majorBidi" w:cstheme="majorBidi"/>
          <w:b/>
          <w:bCs/>
          <w:i/>
          <w:iCs/>
          <w:noProof/>
          <w:sz w:val="24"/>
          <w:szCs w:val="24"/>
          <w:lang w:bidi="fa-IR"/>
        </w:rPr>
        <w:drawing>
          <wp:anchor distT="0" distB="0" distL="114300" distR="114300" simplePos="0" relativeHeight="251661312" behindDoc="0" locked="0" layoutInCell="1" allowOverlap="1" wp14:anchorId="52567DAF" wp14:editId="5B208F85">
            <wp:simplePos x="0" y="0"/>
            <wp:positionH relativeFrom="column">
              <wp:posOffset>2145665</wp:posOffset>
            </wp:positionH>
            <wp:positionV relativeFrom="paragraph">
              <wp:posOffset>-361315</wp:posOffset>
            </wp:positionV>
            <wp:extent cx="1030605" cy="588010"/>
            <wp:effectExtent l="0" t="0" r="0" b="2540"/>
            <wp:wrapSquare wrapText="bothSides"/>
            <wp:docPr id="26" name="Picture 26"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sidR="009B31B5" w:rsidRPr="00372FA9">
        <w:rPr>
          <w:rFonts w:asciiTheme="majorBidi" w:hAnsiTheme="majorBidi" w:cstheme="majorBidi"/>
          <w:b/>
          <w:bCs/>
          <w:i/>
          <w:iCs/>
          <w:sz w:val="24"/>
          <w:szCs w:val="24"/>
        </w:rPr>
        <w:t>In the name of God</w:t>
      </w:r>
      <w:r w:rsidR="0035085F" w:rsidRPr="00372FA9">
        <w:rPr>
          <w:rFonts w:asciiTheme="majorBidi" w:hAnsiTheme="majorBidi" w:cstheme="majorBidi"/>
          <w:b/>
          <w:bCs/>
          <w:i/>
          <w:iCs/>
          <w:sz w:val="24"/>
          <w:szCs w:val="24"/>
        </w:rPr>
        <w:tab/>
      </w:r>
    </w:p>
    <w:p w:rsidR="006E7E3F" w:rsidRDefault="0035085F" w:rsidP="00901ED3">
      <w:r>
        <w:rPr>
          <w:rFonts w:asciiTheme="majorBidi" w:hAnsiTheme="majorBidi" w:cstheme="majorBidi"/>
          <w:sz w:val="24"/>
          <w:szCs w:val="24"/>
        </w:rPr>
        <w:t xml:space="preserve">                                                                                                                  </w:t>
      </w:r>
      <w:r w:rsidR="00DB2510">
        <w:rPr>
          <w:rFonts w:asciiTheme="majorBidi" w:hAnsiTheme="majorBidi" w:cstheme="majorBidi"/>
          <w:sz w:val="24"/>
          <w:szCs w:val="24"/>
        </w:rPr>
        <w:t xml:space="preserve"> </w:t>
      </w:r>
      <w:r w:rsidR="00DB2510" w:rsidRPr="0035085F">
        <w:rPr>
          <w:rFonts w:asciiTheme="majorBidi" w:hAnsiTheme="majorBidi" w:cstheme="majorBidi"/>
          <w:sz w:val="24"/>
          <w:szCs w:val="24"/>
        </w:rPr>
        <w:t xml:space="preserve">Number: </w:t>
      </w:r>
      <w:r w:rsidR="00B151BA">
        <w:t>MA</w:t>
      </w:r>
      <w:r w:rsidR="00491094">
        <w:t>/</w:t>
      </w:r>
      <w:r w:rsidR="00901ED3">
        <w:t>429150</w:t>
      </w:r>
    </w:p>
    <w:p w:rsidR="00660FFD" w:rsidRDefault="00DB2510" w:rsidP="00660FFD">
      <w:r>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907C56">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35085F" w:rsidRPr="0035085F">
        <w:rPr>
          <w:rFonts w:asciiTheme="majorBidi" w:hAnsiTheme="majorBidi" w:cstheme="majorBidi"/>
          <w:sz w:val="24"/>
          <w:szCs w:val="24"/>
        </w:rPr>
        <w:t>Date</w:t>
      </w:r>
      <w:r w:rsidR="00B25271">
        <w:rPr>
          <w:rFonts w:asciiTheme="majorBidi" w:hAnsiTheme="majorBidi" w:cstheme="majorBidi"/>
          <w:sz w:val="24"/>
          <w:szCs w:val="24"/>
        </w:rPr>
        <w:t xml:space="preserve">: </w:t>
      </w:r>
      <w:r w:rsidR="00660FFD">
        <w:t>December 7, 2016</w:t>
      </w:r>
    </w:p>
    <w:p w:rsidR="009B31B5" w:rsidRDefault="00DB2510" w:rsidP="006E7E3F">
      <w:pPr>
        <w:tabs>
          <w:tab w:val="right" w:pos="9360"/>
        </w:tabs>
        <w:jc w:val="center"/>
        <w:rPr>
          <w:rFonts w:asciiTheme="majorBidi" w:hAnsiTheme="majorBidi" w:cstheme="majorBidi"/>
          <w:sz w:val="24"/>
          <w:szCs w:val="24"/>
        </w:rPr>
      </w:pPr>
      <w:r w:rsidRPr="00372FA9">
        <w:rPr>
          <w:rFonts w:asciiTheme="majorBidi" w:hAnsiTheme="majorBidi" w:cstheme="majorBidi"/>
          <w:b/>
          <w:bCs/>
          <w:noProof/>
          <w:sz w:val="24"/>
          <w:szCs w:val="24"/>
          <w:lang w:bidi="fa-IR"/>
        </w:rPr>
        <mc:AlternateContent>
          <mc:Choice Requires="wps">
            <w:drawing>
              <wp:anchor distT="0" distB="0" distL="114300" distR="114300" simplePos="0" relativeHeight="251659264" behindDoc="0" locked="0" layoutInCell="1" allowOverlap="1" wp14:anchorId="05325AE1" wp14:editId="77D51AAA">
                <wp:simplePos x="0" y="0"/>
                <wp:positionH relativeFrom="column">
                  <wp:posOffset>-417306</wp:posOffset>
                </wp:positionH>
                <wp:positionV relativeFrom="paragraph">
                  <wp:posOffset>276225</wp:posOffset>
                </wp:positionV>
                <wp:extent cx="6940826" cy="7523921"/>
                <wp:effectExtent l="0" t="0" r="12700" b="20320"/>
                <wp:wrapNone/>
                <wp:docPr id="1" name="Text Box 1"/>
                <wp:cNvGraphicFramePr/>
                <a:graphic xmlns:a="http://schemas.openxmlformats.org/drawingml/2006/main">
                  <a:graphicData uri="http://schemas.microsoft.com/office/word/2010/wordprocessingShape">
                    <wps:wsp>
                      <wps:cNvSpPr txBox="1"/>
                      <wps:spPr>
                        <a:xfrm>
                          <a:off x="0" y="0"/>
                          <a:ext cx="6940826" cy="752392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660FFD" w:rsidRPr="00660FFD" w:rsidRDefault="009975B8" w:rsidP="00660FFD">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r w:rsidR="00660FFD">
                              <w:t xml:space="preserve">    </w:t>
                            </w:r>
                          </w:p>
                          <w:p w:rsidR="00901ED3" w:rsidRPr="00335FB4" w:rsidRDefault="00901ED3" w:rsidP="00901ED3">
                            <w:pPr>
                              <w:jc w:val="center"/>
                              <w:rPr>
                                <w:sz w:val="24"/>
                                <w:szCs w:val="24"/>
                                <w:u w:val="single"/>
                                <w:lang w:bidi="fa-IR"/>
                              </w:rPr>
                            </w:pPr>
                            <w:bookmarkStart w:id="0" w:name="_GoBack"/>
                            <w:bookmarkEnd w:id="0"/>
                            <w:r w:rsidRPr="00335FB4">
                              <w:rPr>
                                <w:sz w:val="24"/>
                                <w:szCs w:val="24"/>
                                <w:u w:val="single"/>
                                <w:lang w:bidi="fa-IR"/>
                              </w:rPr>
                              <w:t xml:space="preserve">Subject: </w:t>
                            </w:r>
                            <w:r>
                              <w:rPr>
                                <w:sz w:val="24"/>
                                <w:szCs w:val="24"/>
                                <w:u w:val="single"/>
                                <w:lang w:bidi="fa-IR"/>
                              </w:rPr>
                              <w:t>Foam Supply Guideline</w:t>
                            </w:r>
                          </w:p>
                          <w:p w:rsidR="00901ED3" w:rsidRDefault="00901ED3" w:rsidP="00901ED3">
                            <w:pPr>
                              <w:jc w:val="both"/>
                              <w:rPr>
                                <w:u w:val="single"/>
                                <w:lang w:bidi="fa-IR"/>
                              </w:rPr>
                            </w:pPr>
                          </w:p>
                          <w:p w:rsidR="00901ED3" w:rsidRDefault="00901ED3" w:rsidP="00901ED3">
                            <w:pPr>
                              <w:spacing w:before="200"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Foam is one of the most widely used substances for fire suppression in the oil industry. Annually, a large volume of firefighting foam is purchased, stored and used by NIOC’s subsidiaries and associate companies. Thus, NIOC should determine and impose the appropriate relevant requirements to handle the firefighting procurement process and supervise all the phases of the process, from supply to consumption.</w:t>
                            </w:r>
                          </w:p>
                          <w:p w:rsidR="00901ED3" w:rsidRDefault="00901ED3" w:rsidP="00901ED3">
                            <w:pPr>
                              <w:spacing w:before="200" w:after="0" w:line="240" w:lineRule="auto"/>
                              <w:jc w:val="both"/>
                              <w:rPr>
                                <w:rFonts w:ascii="Arial" w:eastAsia="Times New Roman" w:hAnsi="Arial" w:cs="Arial"/>
                                <w:color w:val="000000"/>
                                <w:sz w:val="24"/>
                                <w:szCs w:val="24"/>
                                <w:rtl/>
                                <w:lang w:bidi="fa-IR"/>
                              </w:rPr>
                            </w:pPr>
                            <w:r>
                              <w:rPr>
                                <w:rFonts w:ascii="Arial" w:eastAsia="Times New Roman" w:hAnsi="Arial" w:cs="Arial"/>
                                <w:color w:val="000000"/>
                                <w:sz w:val="24"/>
                                <w:szCs w:val="24"/>
                                <w:lang w:bidi="fa-IR"/>
                              </w:rPr>
                              <w:t>In an attempt to handle the supply of high-quality, high-performance, safe firefighting foam, NIOC’s HSE Department has prepared the Foam Supply Guideline based on the standards and regulations governing the oil industry. The guideline</w:t>
                            </w:r>
                            <w:r w:rsidRPr="009268BD">
                              <w:rPr>
                                <w:rFonts w:ascii="Arial" w:eastAsia="Times New Roman" w:hAnsi="Arial" w:cs="Arial"/>
                                <w:color w:val="000000"/>
                                <w:sz w:val="24"/>
                                <w:szCs w:val="24"/>
                                <w:lang w:bidi="fa-IR"/>
                              </w:rPr>
                              <w:t xml:space="preserve"> is aimed at providing the necessary requirements for the implementation of the different phases constituting the foam supply process. These phases include communication of supply needs, calculation of the required amount of foam, foam type selection with respect to the flammable substances used in the industry, use, storage, and disposal.</w:t>
                            </w:r>
                          </w:p>
                          <w:p w:rsidR="00901ED3" w:rsidRDefault="00901ED3" w:rsidP="00901ED3">
                            <w:pPr>
                              <w:spacing w:before="200" w:after="0" w:line="240" w:lineRule="auto"/>
                              <w:jc w:val="both"/>
                              <w:rPr>
                                <w:rFonts w:ascii="Arial" w:eastAsia="Times New Roman" w:hAnsi="Arial" w:cs="Arial"/>
                                <w:color w:val="000000"/>
                                <w:sz w:val="24"/>
                                <w:szCs w:val="24"/>
                                <w:lang w:bidi="fa-IR"/>
                              </w:rPr>
                            </w:pPr>
                            <w:r>
                              <w:rPr>
                                <w:rFonts w:ascii="Arial" w:eastAsia="Times New Roman" w:hAnsi="Arial" w:cs="Arial"/>
                                <w:color w:val="000000"/>
                                <w:sz w:val="24"/>
                                <w:szCs w:val="24"/>
                              </w:rPr>
                              <w:t>The CEOs of NIOC’s associate companies shall be obliged to implement the guideline at their own companies, as well as, their subsidiaries/operational areas. Furthermore, these CEOs should formulate a foam supply instruction</w:t>
                            </w:r>
                            <w:r>
                              <w:rPr>
                                <w:rFonts w:ascii="Arial" w:eastAsia="Times New Roman" w:hAnsi="Arial" w:cs="Arial" w:hint="cs"/>
                                <w:color w:val="000000"/>
                                <w:sz w:val="24"/>
                                <w:szCs w:val="24"/>
                                <w:rtl/>
                                <w:lang w:bidi="fa-IR"/>
                              </w:rPr>
                              <w:t xml:space="preserve"> </w:t>
                            </w:r>
                            <w:r>
                              <w:rPr>
                                <w:rFonts w:ascii="Arial" w:eastAsia="Times New Roman" w:hAnsi="Arial" w:cs="Arial"/>
                                <w:color w:val="000000"/>
                                <w:sz w:val="24"/>
                                <w:szCs w:val="24"/>
                                <w:lang w:bidi="fa-IR"/>
                              </w:rPr>
                              <w:t>/procedure within 3 months.</w:t>
                            </w:r>
                          </w:p>
                          <w:p w:rsidR="00901ED3" w:rsidRDefault="00901ED3" w:rsidP="00901ED3">
                            <w:pPr>
                              <w:spacing w:before="200" w:after="0" w:line="240" w:lineRule="auto"/>
                              <w:jc w:val="both"/>
                              <w:rPr>
                                <w:rFonts w:ascii="Arial" w:eastAsia="Times New Roman" w:hAnsi="Arial" w:cs="Arial"/>
                                <w:color w:val="000000"/>
                                <w:sz w:val="24"/>
                                <w:szCs w:val="24"/>
                                <w:lang w:bidi="fa-IR"/>
                              </w:rPr>
                            </w:pPr>
                            <w:r>
                              <w:rPr>
                                <w:rFonts w:ascii="Arial" w:eastAsia="Times New Roman" w:hAnsi="Arial" w:cs="Arial"/>
                                <w:color w:val="000000"/>
                                <w:sz w:val="24"/>
                                <w:szCs w:val="24"/>
                                <w:lang w:bidi="fa-IR"/>
                              </w:rPr>
                              <w:t>The Head of NIOC’s HSE Department is responsible for updating and supervising the present guideline’s implementation procedure.</w:t>
                            </w:r>
                          </w:p>
                          <w:p w:rsidR="006E7E3F" w:rsidRDefault="006E7E3F" w:rsidP="006E7E3F">
                            <w:pPr>
                              <w:spacing w:after="0" w:line="240" w:lineRule="auto"/>
                              <w:jc w:val="both"/>
                              <w:rPr>
                                <w:rFonts w:ascii="Arial" w:eastAsia="Times New Roman" w:hAnsi="Arial" w:cs="Arial"/>
                                <w:color w:val="000000"/>
                                <w:sz w:val="24"/>
                                <w:szCs w:val="24"/>
                                <w:rtl/>
                                <w:lang w:bidi="fa-IR"/>
                              </w:rPr>
                            </w:pPr>
                          </w:p>
                          <w:p w:rsidR="00907C56" w:rsidRPr="00907C56" w:rsidRDefault="00907C56" w:rsidP="00B151BA">
                            <w:pPr>
                              <w:ind w:left="6480" w:firstLine="720"/>
                              <w:jc w:val="both"/>
                              <w:rPr>
                                <w:rFonts w:eastAsiaTheme="minorEastAsia"/>
                                <w:b/>
                                <w:bCs/>
                                <w:sz w:val="24"/>
                                <w:szCs w:val="24"/>
                                <w:rtl/>
                                <w:lang w:bidi="fa-IR"/>
                              </w:rPr>
                            </w:pPr>
                            <w:r w:rsidRPr="00907C56">
                              <w:rPr>
                                <w:rFonts w:eastAsiaTheme="minorEastAsia"/>
                                <w:b/>
                                <w:bCs/>
                                <w:sz w:val="24"/>
                                <w:szCs w:val="24"/>
                                <w:lang w:bidi="fa-IR"/>
                              </w:rPr>
                              <w:t xml:space="preserve">Ali </w:t>
                            </w:r>
                            <w:proofErr w:type="spellStart"/>
                            <w:r w:rsidRPr="00907C56">
                              <w:rPr>
                                <w:rFonts w:eastAsiaTheme="minorEastAsia"/>
                                <w:b/>
                                <w:bCs/>
                                <w:sz w:val="24"/>
                                <w:szCs w:val="24"/>
                                <w:lang w:bidi="fa-IR"/>
                              </w:rPr>
                              <w:t>Kardor</w:t>
                            </w:r>
                            <w:proofErr w:type="spellEnd"/>
                          </w:p>
                          <w:p w:rsidR="00785104" w:rsidRDefault="00785104" w:rsidP="0039721A">
                            <w:pPr>
                              <w:rPr>
                                <w:rFonts w:asciiTheme="majorBidi" w:hAnsiTheme="majorBidi" w:cstheme="majorBid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2.85pt;margin-top:21.75pt;width:546.5pt;height:59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" fillcolor="white [3201]" strokeweight=".5pt">
                <v:textbo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660FFD" w:rsidRPr="00660FFD" w:rsidRDefault="009975B8" w:rsidP="00660FFD">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r w:rsidR="00660FFD">
                        <w:t xml:space="preserve">    </w:t>
                      </w:r>
                    </w:p>
                    <w:p w:rsidR="00901ED3" w:rsidRPr="00335FB4" w:rsidRDefault="00901ED3" w:rsidP="00901ED3">
                      <w:pPr>
                        <w:jc w:val="center"/>
                        <w:rPr>
                          <w:sz w:val="24"/>
                          <w:szCs w:val="24"/>
                          <w:u w:val="single"/>
                          <w:lang w:bidi="fa-IR"/>
                        </w:rPr>
                      </w:pPr>
                      <w:bookmarkStart w:id="1" w:name="_GoBack"/>
                      <w:bookmarkEnd w:id="1"/>
                      <w:r w:rsidRPr="00335FB4">
                        <w:rPr>
                          <w:sz w:val="24"/>
                          <w:szCs w:val="24"/>
                          <w:u w:val="single"/>
                          <w:lang w:bidi="fa-IR"/>
                        </w:rPr>
                        <w:t xml:space="preserve">Subject: </w:t>
                      </w:r>
                      <w:r>
                        <w:rPr>
                          <w:sz w:val="24"/>
                          <w:szCs w:val="24"/>
                          <w:u w:val="single"/>
                          <w:lang w:bidi="fa-IR"/>
                        </w:rPr>
                        <w:t>Foam Supply Guideline</w:t>
                      </w:r>
                    </w:p>
                    <w:p w:rsidR="00901ED3" w:rsidRDefault="00901ED3" w:rsidP="00901ED3">
                      <w:pPr>
                        <w:jc w:val="both"/>
                        <w:rPr>
                          <w:u w:val="single"/>
                          <w:lang w:bidi="fa-IR"/>
                        </w:rPr>
                      </w:pPr>
                    </w:p>
                    <w:p w:rsidR="00901ED3" w:rsidRDefault="00901ED3" w:rsidP="00901ED3">
                      <w:pPr>
                        <w:spacing w:before="200"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Foam is one of the most widely used substances for fire suppression in the oil industry. Annually, a large volume of firefighting foam is purchased, stored and used by NIOC’s subsidiaries and associate companies. Thus, NIOC should determine and impose the appropriate relevant requirements to handle the firefighting procurement process and supervise all the phases of the process, from supply to consumption.</w:t>
                      </w:r>
                    </w:p>
                    <w:p w:rsidR="00901ED3" w:rsidRDefault="00901ED3" w:rsidP="00901ED3">
                      <w:pPr>
                        <w:spacing w:before="200" w:after="0" w:line="240" w:lineRule="auto"/>
                        <w:jc w:val="both"/>
                        <w:rPr>
                          <w:rFonts w:ascii="Arial" w:eastAsia="Times New Roman" w:hAnsi="Arial" w:cs="Arial"/>
                          <w:color w:val="000000"/>
                          <w:sz w:val="24"/>
                          <w:szCs w:val="24"/>
                          <w:rtl/>
                          <w:lang w:bidi="fa-IR"/>
                        </w:rPr>
                      </w:pPr>
                      <w:r>
                        <w:rPr>
                          <w:rFonts w:ascii="Arial" w:eastAsia="Times New Roman" w:hAnsi="Arial" w:cs="Arial"/>
                          <w:color w:val="000000"/>
                          <w:sz w:val="24"/>
                          <w:szCs w:val="24"/>
                          <w:lang w:bidi="fa-IR"/>
                        </w:rPr>
                        <w:t>In an attempt to handle the supply of high-quality, high-performance, safe firefighting foam, NIOC’s HSE Department has prepared the Foam Supply Guideline based on the standards and regulations governing the oil industry. The guideline</w:t>
                      </w:r>
                      <w:r w:rsidRPr="009268BD">
                        <w:rPr>
                          <w:rFonts w:ascii="Arial" w:eastAsia="Times New Roman" w:hAnsi="Arial" w:cs="Arial"/>
                          <w:color w:val="000000"/>
                          <w:sz w:val="24"/>
                          <w:szCs w:val="24"/>
                          <w:lang w:bidi="fa-IR"/>
                        </w:rPr>
                        <w:t xml:space="preserve"> is aimed at providing the necessary requirements for the implementation of the different phases constituting the foam supply process. These phases include communication of supply needs, calculation of the required amount of foam, foam type selection with respect to the flammable substances used in the industry, use, storage, and disposal.</w:t>
                      </w:r>
                    </w:p>
                    <w:p w:rsidR="00901ED3" w:rsidRDefault="00901ED3" w:rsidP="00901ED3">
                      <w:pPr>
                        <w:spacing w:before="200" w:after="0" w:line="240" w:lineRule="auto"/>
                        <w:jc w:val="both"/>
                        <w:rPr>
                          <w:rFonts w:ascii="Arial" w:eastAsia="Times New Roman" w:hAnsi="Arial" w:cs="Arial"/>
                          <w:color w:val="000000"/>
                          <w:sz w:val="24"/>
                          <w:szCs w:val="24"/>
                          <w:lang w:bidi="fa-IR"/>
                        </w:rPr>
                      </w:pPr>
                      <w:r>
                        <w:rPr>
                          <w:rFonts w:ascii="Arial" w:eastAsia="Times New Roman" w:hAnsi="Arial" w:cs="Arial"/>
                          <w:color w:val="000000"/>
                          <w:sz w:val="24"/>
                          <w:szCs w:val="24"/>
                        </w:rPr>
                        <w:t>The CEOs of NIOC’s associate companies shall be obliged to implement the guideline at their own companies, as well as, their subsidiaries/operational areas. Furthermore, these CEOs should formulate a foam supply instruction</w:t>
                      </w:r>
                      <w:r>
                        <w:rPr>
                          <w:rFonts w:ascii="Arial" w:eastAsia="Times New Roman" w:hAnsi="Arial" w:cs="Arial" w:hint="cs"/>
                          <w:color w:val="000000"/>
                          <w:sz w:val="24"/>
                          <w:szCs w:val="24"/>
                          <w:rtl/>
                          <w:lang w:bidi="fa-IR"/>
                        </w:rPr>
                        <w:t xml:space="preserve"> </w:t>
                      </w:r>
                      <w:r>
                        <w:rPr>
                          <w:rFonts w:ascii="Arial" w:eastAsia="Times New Roman" w:hAnsi="Arial" w:cs="Arial"/>
                          <w:color w:val="000000"/>
                          <w:sz w:val="24"/>
                          <w:szCs w:val="24"/>
                          <w:lang w:bidi="fa-IR"/>
                        </w:rPr>
                        <w:t>/procedure within 3 months.</w:t>
                      </w:r>
                    </w:p>
                    <w:p w:rsidR="00901ED3" w:rsidRDefault="00901ED3" w:rsidP="00901ED3">
                      <w:pPr>
                        <w:spacing w:before="200" w:after="0" w:line="240" w:lineRule="auto"/>
                        <w:jc w:val="both"/>
                        <w:rPr>
                          <w:rFonts w:ascii="Arial" w:eastAsia="Times New Roman" w:hAnsi="Arial" w:cs="Arial"/>
                          <w:color w:val="000000"/>
                          <w:sz w:val="24"/>
                          <w:szCs w:val="24"/>
                          <w:lang w:bidi="fa-IR"/>
                        </w:rPr>
                      </w:pPr>
                      <w:r>
                        <w:rPr>
                          <w:rFonts w:ascii="Arial" w:eastAsia="Times New Roman" w:hAnsi="Arial" w:cs="Arial"/>
                          <w:color w:val="000000"/>
                          <w:sz w:val="24"/>
                          <w:szCs w:val="24"/>
                          <w:lang w:bidi="fa-IR"/>
                        </w:rPr>
                        <w:t>The Head of NIOC’s HSE Department is responsible for updating and supervising the present guideline’s implementation procedure.</w:t>
                      </w:r>
                    </w:p>
                    <w:p w:rsidR="006E7E3F" w:rsidRDefault="006E7E3F" w:rsidP="006E7E3F">
                      <w:pPr>
                        <w:spacing w:after="0" w:line="240" w:lineRule="auto"/>
                        <w:jc w:val="both"/>
                        <w:rPr>
                          <w:rFonts w:ascii="Arial" w:eastAsia="Times New Roman" w:hAnsi="Arial" w:cs="Arial"/>
                          <w:color w:val="000000"/>
                          <w:sz w:val="24"/>
                          <w:szCs w:val="24"/>
                          <w:rtl/>
                          <w:lang w:bidi="fa-IR"/>
                        </w:rPr>
                      </w:pPr>
                    </w:p>
                    <w:p w:rsidR="00907C56" w:rsidRPr="00907C56" w:rsidRDefault="00907C56" w:rsidP="00B151BA">
                      <w:pPr>
                        <w:ind w:left="6480" w:firstLine="720"/>
                        <w:jc w:val="both"/>
                        <w:rPr>
                          <w:rFonts w:eastAsiaTheme="minorEastAsia"/>
                          <w:b/>
                          <w:bCs/>
                          <w:sz w:val="24"/>
                          <w:szCs w:val="24"/>
                          <w:rtl/>
                          <w:lang w:bidi="fa-IR"/>
                        </w:rPr>
                      </w:pPr>
                      <w:r w:rsidRPr="00907C56">
                        <w:rPr>
                          <w:rFonts w:eastAsiaTheme="minorEastAsia"/>
                          <w:b/>
                          <w:bCs/>
                          <w:sz w:val="24"/>
                          <w:szCs w:val="24"/>
                          <w:lang w:bidi="fa-IR"/>
                        </w:rPr>
                        <w:t xml:space="preserve">Ali </w:t>
                      </w:r>
                      <w:proofErr w:type="spellStart"/>
                      <w:r w:rsidRPr="00907C56">
                        <w:rPr>
                          <w:rFonts w:eastAsiaTheme="minorEastAsia"/>
                          <w:b/>
                          <w:bCs/>
                          <w:sz w:val="24"/>
                          <w:szCs w:val="24"/>
                          <w:lang w:bidi="fa-IR"/>
                        </w:rPr>
                        <w:t>Kardor</w:t>
                      </w:r>
                      <w:proofErr w:type="spellEnd"/>
                    </w:p>
                    <w:p w:rsidR="00785104" w:rsidRDefault="00785104" w:rsidP="0039721A">
                      <w:pPr>
                        <w:rPr>
                          <w:rFonts w:asciiTheme="majorBidi" w:hAnsiTheme="majorBidi" w:cstheme="majorBidi"/>
                        </w:rPr>
                      </w:pPr>
                    </w:p>
                  </w:txbxContent>
                </v:textbox>
              </v:shape>
            </w:pict>
          </mc:Fallback>
        </mc:AlternateContent>
      </w:r>
      <w:r w:rsidRPr="00372FA9">
        <w:rPr>
          <w:rFonts w:asciiTheme="majorBidi" w:hAnsiTheme="majorBidi" w:cstheme="majorBidi"/>
          <w:b/>
          <w:bCs/>
          <w:sz w:val="24"/>
          <w:szCs w:val="24"/>
        </w:rPr>
        <w:t>The Deputy Minister and Managing Director</w:t>
      </w:r>
      <w:r w:rsidR="006E7E3F">
        <w:rPr>
          <w:rFonts w:asciiTheme="majorBidi" w:hAnsiTheme="majorBidi" w:cstheme="majorBidi"/>
          <w:b/>
          <w:bCs/>
          <w:sz w:val="24"/>
          <w:szCs w:val="24"/>
        </w:rPr>
        <w:t xml:space="preserve">                </w:t>
      </w:r>
      <w:r w:rsidR="00A74124">
        <w:rPr>
          <w:rFonts w:asciiTheme="majorBidi" w:hAnsiTheme="majorBidi" w:cstheme="majorBidi"/>
          <w:sz w:val="24"/>
          <w:szCs w:val="24"/>
        </w:rPr>
        <w:t>Appendix:</w:t>
      </w:r>
    </w:p>
    <w:p w:rsidR="00DB2510" w:rsidRPr="009B31B5" w:rsidRDefault="00DB2510">
      <w:pPr>
        <w:rPr>
          <w:rFonts w:asciiTheme="majorBidi" w:hAnsiTheme="majorBidi" w:cstheme="majorBidi"/>
          <w:sz w:val="24"/>
          <w:szCs w:val="24"/>
        </w:rPr>
      </w:pPr>
    </w:p>
    <w:p w:rsidR="009B31B5" w:rsidRDefault="009B31B5"/>
    <w:sectPr w:rsidR="009B31B5" w:rsidSect="009B31B5">
      <w:pgSz w:w="12240" w:h="15840"/>
      <w:pgMar w:top="1440" w:right="1440" w:bottom="1440" w:left="1440" w:header="720" w:footer="720" w:gutter="0"/>
      <w:pgBorders w:offsetFrom="page">
        <w:top w:val="single" w:sz="12" w:space="24" w:color="auto" w:shadow="1"/>
        <w:left w:val="single" w:sz="12" w:space="24" w:color="auto" w:shadow="1"/>
        <w:bottom w:val="single" w:sz="12" w:space="24" w:color="auto" w:shadow="1"/>
        <w:right w:val="single" w:sz="12" w:space="24" w:color="auto" w:shadow="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133" w:rsidRDefault="00590133" w:rsidP="009B31B5">
      <w:pPr>
        <w:spacing w:after="0" w:line="240" w:lineRule="auto"/>
      </w:pPr>
      <w:r>
        <w:separator/>
      </w:r>
    </w:p>
  </w:endnote>
  <w:endnote w:type="continuationSeparator" w:id="0">
    <w:p w:rsidR="00590133" w:rsidRDefault="00590133" w:rsidP="009B3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133" w:rsidRDefault="00590133" w:rsidP="009B31B5">
      <w:pPr>
        <w:spacing w:after="0" w:line="240" w:lineRule="auto"/>
      </w:pPr>
      <w:r>
        <w:separator/>
      </w:r>
    </w:p>
  </w:footnote>
  <w:footnote w:type="continuationSeparator" w:id="0">
    <w:p w:rsidR="00590133" w:rsidRDefault="00590133" w:rsidP="009B31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1B5"/>
    <w:rsid w:val="000009F3"/>
    <w:rsid w:val="0008797A"/>
    <w:rsid w:val="000C469F"/>
    <w:rsid w:val="000D2B03"/>
    <w:rsid w:val="00111B5C"/>
    <w:rsid w:val="00121C78"/>
    <w:rsid w:val="001A632F"/>
    <w:rsid w:val="001D205F"/>
    <w:rsid w:val="002020E7"/>
    <w:rsid w:val="002220D8"/>
    <w:rsid w:val="00284431"/>
    <w:rsid w:val="0029638F"/>
    <w:rsid w:val="002B6D15"/>
    <w:rsid w:val="00307BAF"/>
    <w:rsid w:val="00325EB8"/>
    <w:rsid w:val="0035085F"/>
    <w:rsid w:val="00372FA9"/>
    <w:rsid w:val="0039721A"/>
    <w:rsid w:val="003D3787"/>
    <w:rsid w:val="003E1B92"/>
    <w:rsid w:val="003F652B"/>
    <w:rsid w:val="00463EA0"/>
    <w:rsid w:val="00491094"/>
    <w:rsid w:val="005236A3"/>
    <w:rsid w:val="00544B0B"/>
    <w:rsid w:val="00582AA4"/>
    <w:rsid w:val="00590133"/>
    <w:rsid w:val="005A2FC6"/>
    <w:rsid w:val="0061245F"/>
    <w:rsid w:val="00631795"/>
    <w:rsid w:val="00660FFD"/>
    <w:rsid w:val="006B2583"/>
    <w:rsid w:val="006E7E3F"/>
    <w:rsid w:val="006F54FC"/>
    <w:rsid w:val="007166A5"/>
    <w:rsid w:val="00785104"/>
    <w:rsid w:val="007D4B2C"/>
    <w:rsid w:val="00826F35"/>
    <w:rsid w:val="00901ED3"/>
    <w:rsid w:val="00907C56"/>
    <w:rsid w:val="00957749"/>
    <w:rsid w:val="009975B8"/>
    <w:rsid w:val="009B31B5"/>
    <w:rsid w:val="00A143E3"/>
    <w:rsid w:val="00A74124"/>
    <w:rsid w:val="00AE7BC2"/>
    <w:rsid w:val="00B01A41"/>
    <w:rsid w:val="00B151BA"/>
    <w:rsid w:val="00B16EA8"/>
    <w:rsid w:val="00B25271"/>
    <w:rsid w:val="00B53617"/>
    <w:rsid w:val="00BC3D84"/>
    <w:rsid w:val="00C56169"/>
    <w:rsid w:val="00C70182"/>
    <w:rsid w:val="00CD66BC"/>
    <w:rsid w:val="00D23326"/>
    <w:rsid w:val="00DB1F28"/>
    <w:rsid w:val="00DB2510"/>
    <w:rsid w:val="00DC79C0"/>
    <w:rsid w:val="00E039DC"/>
    <w:rsid w:val="00E72CAE"/>
    <w:rsid w:val="00EC0D2B"/>
    <w:rsid w:val="00EC6AC9"/>
    <w:rsid w:val="00EE2025"/>
    <w:rsid w:val="00EF2561"/>
    <w:rsid w:val="00F446D8"/>
    <w:rsid w:val="00FF05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227180">
      <w:bodyDiv w:val="1"/>
      <w:marLeft w:val="0"/>
      <w:marRight w:val="0"/>
      <w:marTop w:val="0"/>
      <w:marBottom w:val="0"/>
      <w:divBdr>
        <w:top w:val="none" w:sz="0" w:space="0" w:color="auto"/>
        <w:left w:val="none" w:sz="0" w:space="0" w:color="auto"/>
        <w:bottom w:val="none" w:sz="0" w:space="0" w:color="auto"/>
        <w:right w:val="none" w:sz="0" w:space="0" w:color="auto"/>
      </w:divBdr>
    </w:div>
    <w:div w:id="94504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54</Words>
  <Characters>308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Hossein Abbasi Laleh</cp:lastModifiedBy>
  <cp:revision>15</cp:revision>
  <dcterms:created xsi:type="dcterms:W3CDTF">2018-09-04T18:55:00Z</dcterms:created>
  <dcterms:modified xsi:type="dcterms:W3CDTF">2018-09-29T18:25:00Z</dcterms:modified>
</cp:coreProperties>
</file>